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346C9396" w14:textId="77777777" w:rsidR="005368C2" w:rsidRDefault="005368C2" w:rsidP="005368C2">
      <w:pPr>
        <w:pStyle w:val="BodyText"/>
        <w:spacing w:line="259" w:lineRule="auto"/>
        <w:jc w:val="center"/>
        <w:rPr>
          <w:sz w:val="20"/>
        </w:rPr>
      </w:pPr>
    </w:p>
    <w:p w14:paraId="4466B629" w14:textId="77777777" w:rsidR="005368C2" w:rsidRDefault="005368C2" w:rsidP="005368C2">
      <w:pPr>
        <w:pStyle w:val="BodyText"/>
        <w:spacing w:line="259" w:lineRule="auto"/>
        <w:jc w:val="center"/>
        <w:rPr>
          <w:sz w:val="20"/>
        </w:rPr>
      </w:pPr>
    </w:p>
    <w:p w14:paraId="3367267A" w14:textId="77777777" w:rsidR="005368C2" w:rsidRDefault="005368C2" w:rsidP="005368C2">
      <w:pPr>
        <w:pStyle w:val="BodyText"/>
        <w:spacing w:line="259" w:lineRule="auto"/>
        <w:jc w:val="center"/>
        <w:rPr>
          <w:sz w:val="20"/>
        </w:rPr>
      </w:pPr>
    </w:p>
    <w:p w14:paraId="173BD929" w14:textId="77777777" w:rsidR="005368C2" w:rsidRDefault="005368C2" w:rsidP="005368C2">
      <w:pPr>
        <w:pStyle w:val="BodyText"/>
        <w:spacing w:line="259" w:lineRule="auto"/>
        <w:jc w:val="center"/>
        <w:rPr>
          <w:sz w:val="20"/>
        </w:rPr>
      </w:pPr>
    </w:p>
    <w:p w14:paraId="6E06AE44" w14:textId="77777777" w:rsidR="005368C2" w:rsidRPr="005E1375" w:rsidRDefault="005368C2" w:rsidP="005368C2">
      <w:pPr>
        <w:spacing w:line="259" w:lineRule="auto"/>
        <w:jc w:val="center"/>
        <w:rPr>
          <w:b/>
          <w:sz w:val="44"/>
        </w:rPr>
      </w:pPr>
      <w:r w:rsidRPr="005E1375">
        <w:rPr>
          <w:b/>
          <w:sz w:val="44"/>
        </w:rPr>
        <w:t xml:space="preserve">DCAP PORTFOLIO </w:t>
      </w:r>
      <w:r w:rsidRPr="005E1375">
        <w:rPr>
          <w:b/>
          <w:spacing w:val="-2"/>
          <w:sz w:val="44"/>
        </w:rPr>
        <w:t>APPLICATION</w:t>
      </w:r>
    </w:p>
    <w:p w14:paraId="115865A3" w14:textId="77777777" w:rsidR="005368C2" w:rsidRDefault="005368C2" w:rsidP="005368C2">
      <w:pPr>
        <w:pStyle w:val="BodyText"/>
        <w:spacing w:line="259" w:lineRule="auto"/>
        <w:jc w:val="center"/>
        <w:rPr>
          <w:b/>
          <w:sz w:val="31"/>
        </w:rPr>
      </w:pPr>
    </w:p>
    <w:p w14:paraId="073FC64E" w14:textId="77777777" w:rsidR="005368C2" w:rsidRDefault="005368C2" w:rsidP="005368C2">
      <w:pPr>
        <w:pStyle w:val="BodyText"/>
        <w:spacing w:line="259" w:lineRule="auto"/>
        <w:jc w:val="center"/>
        <w:rPr>
          <w:sz w:val="32"/>
        </w:rPr>
      </w:pPr>
    </w:p>
    <w:p w14:paraId="34A758A2" w14:textId="77777777" w:rsidR="005368C2" w:rsidRPr="005E1375" w:rsidRDefault="005368C2" w:rsidP="005368C2">
      <w:pPr>
        <w:pStyle w:val="BodyText"/>
        <w:spacing w:line="259" w:lineRule="auto"/>
        <w:jc w:val="center"/>
        <w:rPr>
          <w:b/>
          <w:sz w:val="28"/>
        </w:rPr>
      </w:pPr>
    </w:p>
    <w:p w14:paraId="12FFFE78" w14:textId="77777777" w:rsidR="005368C2" w:rsidRPr="005E1375" w:rsidRDefault="005368C2" w:rsidP="005368C2">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01D1FD3E" w14:textId="05FB57F8" w:rsidR="005368C2" w:rsidRPr="005E1375" w:rsidRDefault="005368C2" w:rsidP="005368C2">
      <w:pPr>
        <w:pStyle w:val="Heading2"/>
        <w:spacing w:line="259" w:lineRule="auto"/>
        <w:ind w:left="0"/>
        <w:jc w:val="center"/>
        <w:rPr>
          <w:sz w:val="44"/>
        </w:rPr>
      </w:pPr>
      <w:r>
        <w:rPr>
          <w:sz w:val="44"/>
        </w:rPr>
        <w:t>Structural Engineering Services</w:t>
      </w:r>
    </w:p>
    <w:p w14:paraId="6FECD71D" w14:textId="77777777" w:rsidR="005368C2" w:rsidRDefault="005368C2" w:rsidP="005368C2">
      <w:pPr>
        <w:pStyle w:val="BodyText"/>
        <w:spacing w:line="259" w:lineRule="auto"/>
        <w:jc w:val="center"/>
        <w:rPr>
          <w:b/>
          <w:sz w:val="24"/>
        </w:rPr>
      </w:pPr>
    </w:p>
    <w:p w14:paraId="6C055817" w14:textId="77777777" w:rsidR="005368C2" w:rsidRDefault="005368C2" w:rsidP="005368C2">
      <w:pPr>
        <w:pStyle w:val="BodyText"/>
        <w:spacing w:line="259" w:lineRule="auto"/>
        <w:jc w:val="center"/>
        <w:rPr>
          <w:b/>
          <w:sz w:val="26"/>
        </w:rPr>
      </w:pPr>
    </w:p>
    <w:p w14:paraId="24115222" w14:textId="77777777" w:rsidR="005368C2" w:rsidRDefault="005368C2" w:rsidP="005368C2">
      <w:pPr>
        <w:pStyle w:val="BodyText"/>
        <w:spacing w:line="259" w:lineRule="auto"/>
        <w:jc w:val="center"/>
        <w:rPr>
          <w:b/>
          <w:sz w:val="26"/>
        </w:rPr>
      </w:pPr>
    </w:p>
    <w:p w14:paraId="4788ABDB" w14:textId="77777777" w:rsidR="005368C2" w:rsidRPr="005E1375" w:rsidRDefault="005368C2" w:rsidP="005368C2">
      <w:pPr>
        <w:spacing w:line="259" w:lineRule="auto"/>
        <w:jc w:val="center"/>
        <w:rPr>
          <w:b/>
          <w:sz w:val="28"/>
        </w:rPr>
      </w:pPr>
      <w:r>
        <w:rPr>
          <w:b/>
          <w:sz w:val="28"/>
        </w:rPr>
        <w:t>Issue Due: December 7, 2022</w:t>
      </w:r>
    </w:p>
    <w:p w14:paraId="6135D1AA" w14:textId="77777777" w:rsidR="005368C2" w:rsidRPr="005E1375" w:rsidRDefault="005368C2" w:rsidP="005368C2">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68B9502E" w14:textId="77777777" w:rsidR="005368C2" w:rsidRDefault="005368C2" w:rsidP="005368C2">
      <w:pPr>
        <w:pStyle w:val="BodyText"/>
        <w:spacing w:line="259" w:lineRule="auto"/>
        <w:jc w:val="center"/>
        <w:rPr>
          <w:b/>
          <w:sz w:val="23"/>
        </w:rPr>
      </w:pPr>
    </w:p>
    <w:p w14:paraId="2845E45B" w14:textId="77777777" w:rsidR="005368C2" w:rsidRDefault="005368C2" w:rsidP="005368C2">
      <w:pPr>
        <w:pStyle w:val="BodyText"/>
        <w:tabs>
          <w:tab w:val="left" w:pos="6560"/>
        </w:tabs>
        <w:spacing w:line="259" w:lineRule="auto"/>
        <w:rPr>
          <w:b/>
          <w:sz w:val="26"/>
        </w:rPr>
      </w:pPr>
    </w:p>
    <w:p w14:paraId="1C564343" w14:textId="77777777" w:rsidR="005368C2" w:rsidRDefault="005368C2" w:rsidP="005368C2">
      <w:pPr>
        <w:pStyle w:val="BodyText"/>
        <w:spacing w:line="259" w:lineRule="auto"/>
        <w:jc w:val="center"/>
        <w:rPr>
          <w:b/>
          <w:sz w:val="26"/>
        </w:rPr>
      </w:pPr>
    </w:p>
    <w:p w14:paraId="345F30C4" w14:textId="77777777" w:rsidR="005368C2" w:rsidRDefault="005368C2" w:rsidP="005368C2">
      <w:pPr>
        <w:pStyle w:val="BodyText"/>
        <w:spacing w:line="259" w:lineRule="auto"/>
        <w:jc w:val="center"/>
        <w:rPr>
          <w:b/>
          <w:sz w:val="26"/>
        </w:rPr>
      </w:pPr>
    </w:p>
    <w:p w14:paraId="42DE975C" w14:textId="77777777" w:rsidR="005368C2" w:rsidRDefault="005368C2" w:rsidP="005368C2">
      <w:pPr>
        <w:pStyle w:val="BodyText"/>
        <w:spacing w:line="259" w:lineRule="auto"/>
        <w:jc w:val="center"/>
        <w:rPr>
          <w:b/>
          <w:sz w:val="26"/>
        </w:rPr>
      </w:pPr>
    </w:p>
    <w:p w14:paraId="70617B30" w14:textId="77777777" w:rsidR="005368C2" w:rsidRDefault="005368C2" w:rsidP="005368C2">
      <w:pPr>
        <w:pStyle w:val="BodyText"/>
        <w:spacing w:line="259" w:lineRule="auto"/>
        <w:jc w:val="center"/>
        <w:rPr>
          <w:b/>
          <w:sz w:val="26"/>
        </w:rPr>
      </w:pPr>
    </w:p>
    <w:p w14:paraId="66BFC750" w14:textId="77777777" w:rsidR="005368C2" w:rsidRDefault="005368C2" w:rsidP="005368C2">
      <w:pPr>
        <w:pStyle w:val="BodyText"/>
        <w:spacing w:line="259" w:lineRule="auto"/>
        <w:jc w:val="center"/>
        <w:rPr>
          <w:b/>
          <w:sz w:val="26"/>
        </w:rPr>
      </w:pPr>
    </w:p>
    <w:p w14:paraId="664E3109" w14:textId="77777777" w:rsidR="005368C2" w:rsidRDefault="005368C2" w:rsidP="005368C2">
      <w:pPr>
        <w:pStyle w:val="BodyText"/>
        <w:spacing w:line="259" w:lineRule="auto"/>
        <w:jc w:val="center"/>
        <w:rPr>
          <w:b/>
          <w:sz w:val="26"/>
        </w:rPr>
      </w:pPr>
    </w:p>
    <w:p w14:paraId="60BC1277" w14:textId="77777777" w:rsidR="005368C2" w:rsidRDefault="005368C2" w:rsidP="005368C2">
      <w:pPr>
        <w:pStyle w:val="BodyText"/>
        <w:spacing w:line="259" w:lineRule="auto"/>
        <w:jc w:val="center"/>
        <w:rPr>
          <w:b/>
          <w:sz w:val="26"/>
        </w:rPr>
      </w:pPr>
    </w:p>
    <w:p w14:paraId="2A1D4429" w14:textId="77777777" w:rsidR="005368C2" w:rsidRDefault="005368C2" w:rsidP="005368C2">
      <w:pPr>
        <w:pStyle w:val="BodyText"/>
        <w:spacing w:line="259" w:lineRule="auto"/>
        <w:jc w:val="center"/>
        <w:rPr>
          <w:b/>
          <w:sz w:val="26"/>
        </w:rPr>
      </w:pPr>
      <w:r>
        <w:rPr>
          <w:b/>
          <w:sz w:val="26"/>
        </w:rPr>
        <w:softHyphen/>
      </w:r>
      <w:r>
        <w:rPr>
          <w:b/>
          <w:sz w:val="26"/>
        </w:rPr>
        <w:softHyphen/>
      </w:r>
    </w:p>
    <w:p w14:paraId="3FCCA612" w14:textId="77777777" w:rsidR="005368C2" w:rsidRDefault="005368C2" w:rsidP="005368C2">
      <w:pPr>
        <w:pStyle w:val="BodyText"/>
        <w:spacing w:line="259" w:lineRule="auto"/>
        <w:rPr>
          <w:b/>
          <w:sz w:val="26"/>
        </w:rPr>
      </w:pPr>
    </w:p>
    <w:p w14:paraId="290BDDD4" w14:textId="77777777" w:rsidR="005368C2" w:rsidRDefault="005368C2" w:rsidP="005368C2">
      <w:pPr>
        <w:pStyle w:val="BodyText"/>
        <w:spacing w:line="259" w:lineRule="auto"/>
        <w:jc w:val="center"/>
        <w:rPr>
          <w:b/>
          <w:sz w:val="26"/>
        </w:rPr>
      </w:pPr>
    </w:p>
    <w:p w14:paraId="4749C6F6" w14:textId="77777777" w:rsidR="005368C2" w:rsidRDefault="005368C2" w:rsidP="005368C2">
      <w:pPr>
        <w:pStyle w:val="BodyText"/>
        <w:spacing w:line="259" w:lineRule="auto"/>
        <w:jc w:val="center"/>
        <w:rPr>
          <w:b/>
          <w:sz w:val="26"/>
        </w:rPr>
      </w:pPr>
    </w:p>
    <w:p w14:paraId="7462A700" w14:textId="77777777" w:rsidR="005368C2" w:rsidRDefault="005368C2" w:rsidP="005368C2">
      <w:pPr>
        <w:pStyle w:val="BodyText"/>
        <w:spacing w:line="259" w:lineRule="auto"/>
        <w:jc w:val="center"/>
        <w:rPr>
          <w:b/>
          <w:sz w:val="26"/>
        </w:rPr>
      </w:pPr>
    </w:p>
    <w:p w14:paraId="07ADB0D3" w14:textId="77777777" w:rsidR="005368C2" w:rsidRPr="006C6B8C" w:rsidRDefault="005368C2" w:rsidP="005368C2">
      <w:pPr>
        <w:pStyle w:val="Heading3"/>
        <w:spacing w:line="259" w:lineRule="auto"/>
        <w:jc w:val="center"/>
        <w:rPr>
          <w:spacing w:val="-2"/>
        </w:rPr>
      </w:pPr>
      <w:r w:rsidRPr="006C6B8C">
        <w:rPr>
          <w:spacing w:val="-2"/>
        </w:rPr>
        <w:t>NOTICE</w:t>
      </w:r>
    </w:p>
    <w:p w14:paraId="2D655204" w14:textId="77777777" w:rsidR="005368C2" w:rsidRPr="006C6B8C" w:rsidRDefault="005368C2" w:rsidP="005368C2">
      <w:pPr>
        <w:spacing w:line="259" w:lineRule="auto"/>
        <w:rPr>
          <w:b/>
          <w:sz w:val="24"/>
        </w:rPr>
      </w:pPr>
    </w:p>
    <w:p w14:paraId="2308223F" w14:textId="77777777" w:rsidR="005368C2" w:rsidRDefault="005368C2" w:rsidP="005368C2">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0A16869C" w14:textId="77777777" w:rsidR="005368C2" w:rsidRDefault="005368C2" w:rsidP="005368C2">
      <w:pPr>
        <w:spacing w:line="259" w:lineRule="auto"/>
        <w:rPr>
          <w:sz w:val="24"/>
          <w:szCs w:val="24"/>
        </w:rPr>
      </w:pPr>
    </w:p>
    <w:p w14:paraId="1D36B93C" w14:textId="77777777" w:rsidR="005368C2" w:rsidRDefault="005368C2" w:rsidP="005368C2">
      <w:pPr>
        <w:pStyle w:val="BodyText"/>
        <w:ind w:left="720" w:right="720"/>
        <w:rPr>
          <w:sz w:val="20"/>
        </w:rPr>
      </w:pPr>
      <w:r>
        <w:rPr>
          <w:noProof/>
        </w:rPr>
        <w:drawing>
          <wp:inline distT="0" distB="0" distL="0" distR="0" wp14:anchorId="33F6E85F" wp14:editId="223D4F24">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576CECDD" w14:textId="77777777" w:rsidR="005368C2" w:rsidRDefault="005368C2" w:rsidP="005368C2">
      <w:pPr>
        <w:pStyle w:val="BodyText"/>
        <w:ind w:left="720" w:right="720"/>
        <w:rPr>
          <w:sz w:val="20"/>
        </w:rPr>
      </w:pPr>
    </w:p>
    <w:p w14:paraId="08C7D1B9" w14:textId="77777777" w:rsidR="005368C2" w:rsidRPr="00FF63E9" w:rsidRDefault="005368C2" w:rsidP="005368C2">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74C56E36" w14:textId="77777777" w:rsidR="005368C2" w:rsidRPr="00FF63E9" w:rsidRDefault="005368C2" w:rsidP="005368C2">
      <w:pPr>
        <w:pStyle w:val="BodyText"/>
        <w:spacing w:line="259" w:lineRule="auto"/>
        <w:ind w:left="720" w:right="720"/>
      </w:pPr>
    </w:p>
    <w:p w14:paraId="5521FCCF" w14:textId="77777777" w:rsidR="005368C2" w:rsidRPr="00FF63E9" w:rsidRDefault="005368C2" w:rsidP="005368C2">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13EC8052" w14:textId="77777777" w:rsidR="005368C2" w:rsidRPr="00FF63E9" w:rsidRDefault="005368C2" w:rsidP="005368C2">
      <w:pPr>
        <w:pStyle w:val="BodyText"/>
        <w:spacing w:line="259" w:lineRule="auto"/>
        <w:ind w:left="720" w:right="720"/>
        <w:rPr>
          <w:color w:val="1A1A1A"/>
          <w:shd w:val="clear" w:color="auto" w:fill="FFFFFF"/>
        </w:rPr>
      </w:pPr>
    </w:p>
    <w:p w14:paraId="73038B93" w14:textId="77777777" w:rsidR="005368C2" w:rsidRPr="00FF63E9" w:rsidRDefault="005368C2" w:rsidP="005368C2">
      <w:pPr>
        <w:pStyle w:val="BodyText"/>
        <w:spacing w:line="259" w:lineRule="auto"/>
        <w:ind w:left="720" w:right="720"/>
        <w:rPr>
          <w:b/>
          <w:color w:val="1A1A1A"/>
          <w:shd w:val="clear" w:color="auto" w:fill="FFFFFF"/>
        </w:rPr>
      </w:pPr>
      <w:r w:rsidRPr="00FF63E9">
        <w:rPr>
          <w:b/>
          <w:color w:val="1A1A1A"/>
          <w:shd w:val="clear" w:color="auto" w:fill="FFFFFF"/>
        </w:rPr>
        <w:t>Objective</w:t>
      </w:r>
    </w:p>
    <w:p w14:paraId="6A0E72AC" w14:textId="77777777" w:rsidR="005368C2" w:rsidRPr="00FF63E9" w:rsidRDefault="005368C2" w:rsidP="005368C2">
      <w:pPr>
        <w:pStyle w:val="BodyText"/>
        <w:spacing w:line="259" w:lineRule="auto"/>
        <w:ind w:left="720" w:right="720"/>
        <w:rPr>
          <w:color w:val="1A1A1A"/>
          <w:shd w:val="clear" w:color="auto" w:fill="FFFFFF"/>
        </w:rPr>
      </w:pPr>
    </w:p>
    <w:p w14:paraId="47521C75" w14:textId="77777777" w:rsidR="005368C2" w:rsidRPr="00FF63E9" w:rsidRDefault="005368C2" w:rsidP="005368C2">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341A8487" w14:textId="77777777" w:rsidR="005368C2" w:rsidRPr="00FF63E9" w:rsidRDefault="005368C2" w:rsidP="005368C2">
      <w:pPr>
        <w:spacing w:line="259" w:lineRule="auto"/>
        <w:ind w:left="720" w:right="720"/>
        <w:rPr>
          <w:b/>
          <w:color w:val="1A1A1A"/>
          <w:shd w:val="clear" w:color="auto" w:fill="FFFFFF"/>
        </w:rPr>
      </w:pPr>
    </w:p>
    <w:p w14:paraId="785B0894" w14:textId="77777777" w:rsidR="005368C2" w:rsidRPr="00FF63E9" w:rsidRDefault="005368C2" w:rsidP="005368C2">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5765184A" w14:textId="77777777" w:rsidR="005368C2" w:rsidRPr="00FF63E9" w:rsidRDefault="005368C2" w:rsidP="005368C2">
      <w:pPr>
        <w:spacing w:line="259" w:lineRule="auto"/>
        <w:ind w:left="720" w:right="720"/>
        <w:rPr>
          <w:color w:val="1A1A1A"/>
          <w:shd w:val="clear" w:color="auto" w:fill="FFFFFF"/>
        </w:rPr>
      </w:pPr>
    </w:p>
    <w:p w14:paraId="5C61B8E8" w14:textId="77777777" w:rsidR="005368C2" w:rsidRPr="00FF63E9" w:rsidRDefault="005368C2" w:rsidP="005368C2">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2BFF76F2" w14:textId="77777777" w:rsidR="005368C2" w:rsidRPr="00FF63E9" w:rsidRDefault="005368C2" w:rsidP="005368C2">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0282F384" w14:textId="77777777" w:rsidR="005368C2" w:rsidRPr="00FF63E9" w:rsidRDefault="005368C2" w:rsidP="005368C2">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74C4BB02" w14:textId="77777777" w:rsidR="005368C2" w:rsidRPr="00FF63E9" w:rsidRDefault="005368C2" w:rsidP="005368C2">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3A473470" w14:textId="77777777" w:rsidR="005368C2" w:rsidRPr="00FF63E9" w:rsidRDefault="005368C2" w:rsidP="005368C2">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58B38F11" w14:textId="77777777" w:rsidR="005368C2" w:rsidRPr="00FF63E9" w:rsidRDefault="005368C2" w:rsidP="005368C2">
      <w:pPr>
        <w:pStyle w:val="BodyText"/>
        <w:spacing w:line="259" w:lineRule="auto"/>
        <w:ind w:left="720" w:right="720"/>
      </w:pPr>
    </w:p>
    <w:p w14:paraId="7B846BF8" w14:textId="77777777" w:rsidR="005368C2" w:rsidRPr="00FF63E9" w:rsidRDefault="005368C2" w:rsidP="005368C2">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222EFF68" w14:textId="77777777" w:rsidR="005368C2" w:rsidRPr="00FF63E9" w:rsidRDefault="005368C2" w:rsidP="005368C2">
      <w:pPr>
        <w:pStyle w:val="BodyText"/>
        <w:spacing w:line="259" w:lineRule="auto"/>
        <w:ind w:left="720" w:right="720"/>
      </w:pPr>
      <w:r w:rsidRPr="00FF63E9">
        <w:t xml:space="preserve"> </w:t>
      </w:r>
    </w:p>
    <w:p w14:paraId="00090B6E" w14:textId="77777777" w:rsidR="005368C2" w:rsidRPr="00FF63E9" w:rsidRDefault="005368C2" w:rsidP="005368C2">
      <w:pPr>
        <w:pStyle w:val="BodyText"/>
        <w:spacing w:line="259" w:lineRule="auto"/>
        <w:ind w:left="720" w:right="720"/>
      </w:pPr>
      <w:r w:rsidRPr="00FF63E9">
        <w:rPr>
          <w:b/>
        </w:rPr>
        <w:t>Contact Name:</w:t>
      </w:r>
      <w:r w:rsidRPr="00FF63E9">
        <w:t xml:space="preserve"> Delores Johnson-Cooper</w:t>
      </w:r>
    </w:p>
    <w:p w14:paraId="76083BD9" w14:textId="77777777" w:rsidR="005368C2" w:rsidRPr="00FF63E9" w:rsidRDefault="005368C2" w:rsidP="005368C2">
      <w:pPr>
        <w:pStyle w:val="BodyText"/>
        <w:spacing w:line="259" w:lineRule="auto"/>
        <w:ind w:left="720" w:right="720"/>
      </w:pPr>
      <w:r w:rsidRPr="00FF63E9">
        <w:rPr>
          <w:b/>
        </w:rPr>
        <w:t>Contact Title:</w:t>
      </w:r>
      <w:r w:rsidRPr="00FF63E9">
        <w:t xml:space="preserve"> Founder &amp; CEO, Johnson Cooper Consulting Inc. (DCAP Procurement Consultants)</w:t>
      </w:r>
    </w:p>
    <w:p w14:paraId="34ECD936" w14:textId="77777777" w:rsidR="005368C2" w:rsidRPr="00FF63E9" w:rsidRDefault="005368C2" w:rsidP="005368C2">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7D55CAF3" w14:textId="77777777" w:rsidR="005368C2" w:rsidRPr="00FF63E9" w:rsidRDefault="005368C2" w:rsidP="005368C2">
      <w:pPr>
        <w:pStyle w:val="BodyText"/>
        <w:spacing w:line="259" w:lineRule="auto"/>
        <w:ind w:left="720" w:right="720"/>
      </w:pPr>
    </w:p>
    <w:p w14:paraId="5F57C06A" w14:textId="77777777" w:rsidR="005368C2" w:rsidRPr="00FF63E9" w:rsidRDefault="005368C2" w:rsidP="005368C2">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447D9154" w14:textId="77777777" w:rsidR="005368C2" w:rsidRPr="00FF63E9" w:rsidRDefault="005368C2" w:rsidP="005368C2">
      <w:pPr>
        <w:pStyle w:val="BodyText"/>
        <w:spacing w:line="259" w:lineRule="auto"/>
        <w:ind w:left="720" w:right="720"/>
      </w:pPr>
    </w:p>
    <w:p w14:paraId="203D0FCB" w14:textId="77777777" w:rsidR="005368C2" w:rsidRPr="00FF63E9" w:rsidRDefault="005368C2" w:rsidP="005368C2">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6193B523" w14:textId="77777777" w:rsidR="005368C2" w:rsidRPr="00FF63E9" w:rsidRDefault="005368C2" w:rsidP="005368C2">
      <w:pPr>
        <w:pStyle w:val="BodyText"/>
        <w:spacing w:line="259" w:lineRule="auto"/>
        <w:ind w:left="720" w:right="720"/>
        <w:rPr>
          <w:iCs/>
          <w:color w:val="000000"/>
          <w:bdr w:val="none" w:sz="0" w:space="0" w:color="auto" w:frame="1"/>
          <w:shd w:val="clear" w:color="auto" w:fill="FFFFFF"/>
        </w:rPr>
      </w:pPr>
    </w:p>
    <w:p w14:paraId="7A98EA1C" w14:textId="77777777" w:rsidR="005368C2" w:rsidRPr="00FF63E9" w:rsidRDefault="005368C2" w:rsidP="005368C2">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575A31AD" w14:textId="77777777" w:rsidR="005368C2" w:rsidRPr="00FF63E9" w:rsidRDefault="005368C2" w:rsidP="005368C2">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5368C2" w:rsidRPr="00FF63E9" w14:paraId="5AACD868" w14:textId="77777777" w:rsidTr="00392FB9">
        <w:tc>
          <w:tcPr>
            <w:tcW w:w="4860" w:type="dxa"/>
          </w:tcPr>
          <w:p w14:paraId="3A309D47" w14:textId="77777777" w:rsidR="005368C2" w:rsidRPr="00FF63E9" w:rsidRDefault="005368C2"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Steve Glaude</w:t>
            </w:r>
          </w:p>
          <w:p w14:paraId="760E880D" w14:textId="77777777" w:rsidR="005368C2" w:rsidRDefault="005368C2"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26866411" w14:textId="77777777" w:rsidR="005368C2" w:rsidRPr="00FF63E9" w:rsidRDefault="005368C2"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0CB9B812" w14:textId="77777777" w:rsidR="005368C2" w:rsidRPr="00FF63E9" w:rsidRDefault="005368C2"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Phillip Berkaw</w:t>
            </w:r>
          </w:p>
          <w:p w14:paraId="4BD7407D" w14:textId="77777777" w:rsidR="005368C2" w:rsidRDefault="005368C2"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1BD1CCDC" w14:textId="77777777" w:rsidR="005368C2" w:rsidRPr="00FF63E9" w:rsidRDefault="005368C2"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0E90830B" w14:textId="77777777" w:rsidR="00FF63E9" w:rsidRDefault="00FF63E9"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62ACF723" w:rsidR="005F4C0C" w:rsidRDefault="00AE21C5" w:rsidP="007B5BEB">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7B5BEB">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2091ED08"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07FFDC1C" w:rsidR="005F4C0C" w:rsidRPr="00FC44B8" w:rsidRDefault="00057807" w:rsidP="00FC44B8">
      <w:pPr>
        <w:pStyle w:val="ListParagraph"/>
        <w:numPr>
          <w:ilvl w:val="1"/>
          <w:numId w:val="17"/>
        </w:numPr>
        <w:tabs>
          <w:tab w:val="left" w:pos="940"/>
        </w:tabs>
        <w:ind w:left="720"/>
        <w:rPr>
          <w:b/>
          <w:sz w:val="24"/>
        </w:rPr>
      </w:pPr>
      <w:r w:rsidRPr="00057807">
        <w:rPr>
          <w:b/>
          <w:sz w:val="24"/>
        </w:rPr>
        <w:t>Structural Engineering</w:t>
      </w:r>
      <w:r w:rsidRPr="002C0D4F">
        <w:rPr>
          <w:rStyle w:val="normaltextrun"/>
        </w:rPr>
        <w:t>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3734A19D" w14:textId="77777777" w:rsidR="00057807" w:rsidRPr="00306137" w:rsidRDefault="00057807" w:rsidP="00057807">
      <w:pPr>
        <w:pStyle w:val="paragraph"/>
        <w:spacing w:before="0" w:beforeAutospacing="0" w:after="0" w:afterAutospacing="0"/>
        <w:ind w:left="720" w:right="360"/>
        <w:textAlignment w:val="baseline"/>
      </w:pPr>
      <w:r w:rsidRPr="00306137">
        <w:rPr>
          <w:rStyle w:val="normaltextrun"/>
        </w:rPr>
        <w:t>This category scope covers Structural Engineering </w:t>
      </w:r>
      <w:r>
        <w:rPr>
          <w:rStyle w:val="normaltextrun"/>
        </w:rPr>
        <w:t xml:space="preserve">Services </w:t>
      </w:r>
      <w:r w:rsidRPr="00306137">
        <w:rPr>
          <w:rStyle w:val="normaltextrun"/>
        </w:rPr>
        <w:t xml:space="preserve">across a broad spectrum of services </w:t>
      </w:r>
      <w:r>
        <w:rPr>
          <w:rStyle w:val="normaltextrun"/>
        </w:rPr>
        <w:t xml:space="preserve">and labor titles </w:t>
      </w:r>
      <w:r w:rsidRPr="00306137">
        <w:rPr>
          <w:rStyle w:val="normaltextrun"/>
        </w:rPr>
        <w:t xml:space="preserve">to meet the needs of the DCAP Anchor Members. </w:t>
      </w:r>
      <w:r w:rsidRPr="00306137">
        <w:rPr>
          <w:rStyle w:val="eop"/>
        </w:rPr>
        <w:t> </w:t>
      </w:r>
    </w:p>
    <w:p w14:paraId="7928DC86" w14:textId="77777777" w:rsidR="00057807" w:rsidRPr="00306137" w:rsidRDefault="00057807" w:rsidP="00057807">
      <w:pPr>
        <w:pStyle w:val="paragraph"/>
        <w:spacing w:before="0" w:beforeAutospacing="0" w:after="0" w:afterAutospacing="0"/>
        <w:ind w:left="720" w:right="360"/>
        <w:textAlignment w:val="baseline"/>
        <w:rPr>
          <w:rStyle w:val="normaltextrun"/>
        </w:rPr>
      </w:pPr>
    </w:p>
    <w:p w14:paraId="2FA0EE60" w14:textId="77777777" w:rsidR="00057807" w:rsidRPr="00306137" w:rsidRDefault="00057807" w:rsidP="00057807">
      <w:pPr>
        <w:pStyle w:val="paragraph"/>
        <w:spacing w:before="0" w:beforeAutospacing="0" w:after="0" w:afterAutospacing="0"/>
        <w:ind w:left="720" w:right="360"/>
        <w:textAlignment w:val="baseline"/>
      </w:pPr>
      <w:r w:rsidRPr="00306137">
        <w:rPr>
          <w:rStyle w:val="normaltextrun"/>
        </w:rPr>
        <w:t>Structural Engineering is a specialty within Civil Engineering. Structural Engineers create drawings and specifications, perform calculations, review the work of other engineers, write reports and evaluations, and observe construction sites. Structural engineering specialties may include various types of building structures, bridges, pipelines, industrial, tunnels, and vehicles. Structural engineering material specialties includes concrete, steel, wood, masonry, alloys, and composites, and may focus on particular types of buildings such as offices, schools, hospitals, residential, and so forth.</w:t>
      </w:r>
      <w:r w:rsidRPr="00306137">
        <w:rPr>
          <w:rStyle w:val="eop"/>
        </w:rPr>
        <w:t> </w:t>
      </w:r>
    </w:p>
    <w:p w14:paraId="4BE5AFB7" w14:textId="77777777" w:rsidR="00057807" w:rsidRPr="00306137" w:rsidRDefault="00057807" w:rsidP="00057807">
      <w:pPr>
        <w:pStyle w:val="paragraph"/>
        <w:spacing w:before="0" w:beforeAutospacing="0" w:after="0" w:afterAutospacing="0"/>
        <w:ind w:left="720" w:right="360"/>
        <w:textAlignment w:val="baseline"/>
        <w:rPr>
          <w:rStyle w:val="normaltextrun"/>
          <w:b/>
          <w:bCs/>
        </w:rPr>
      </w:pPr>
    </w:p>
    <w:p w14:paraId="45D5214C" w14:textId="30A76DEF" w:rsidR="00AB1680" w:rsidRPr="005427D9" w:rsidRDefault="00057807" w:rsidP="00057807">
      <w:pPr>
        <w:pStyle w:val="paragraph"/>
        <w:spacing w:before="0" w:beforeAutospacing="0" w:after="0" w:afterAutospacing="0"/>
        <w:ind w:left="720" w:right="360"/>
        <w:textAlignment w:val="baseline"/>
      </w:pPr>
      <w:r w:rsidRPr="00306137">
        <w:rPr>
          <w:rStyle w:val="eop"/>
        </w:rPr>
        <w:t xml:space="preserve">Labor </w:t>
      </w:r>
      <w:r w:rsidRPr="00306137">
        <w:rPr>
          <w:rStyle w:val="normaltextrun"/>
        </w:rPr>
        <w:t>titles</w:t>
      </w:r>
      <w:r w:rsidRPr="00306137">
        <w:rPr>
          <w:rStyle w:val="eop"/>
        </w:rPr>
        <w:t xml:space="preserve"> may include: Structural Engineer I, Structural Engineer II, Staff Structural Engineer, Senior Structural Engineer, and Principal Structural Engineer.</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4B8D289C"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64651C">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3527" w14:textId="77777777" w:rsidR="009E40F4" w:rsidRDefault="009E40F4">
      <w:r>
        <w:separator/>
      </w:r>
    </w:p>
  </w:endnote>
  <w:endnote w:type="continuationSeparator" w:id="0">
    <w:p w14:paraId="7B86D971" w14:textId="77777777" w:rsidR="009E40F4" w:rsidRDefault="009E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5BEB">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5BEB">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5BEB">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5BEB">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5D2C" w14:textId="77777777" w:rsidR="009E40F4" w:rsidRDefault="009E40F4">
      <w:r>
        <w:separator/>
      </w:r>
    </w:p>
  </w:footnote>
  <w:footnote w:type="continuationSeparator" w:id="0">
    <w:p w14:paraId="51CFFD8F" w14:textId="77777777" w:rsidR="009E40F4" w:rsidRDefault="009E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69380">
    <w:abstractNumId w:val="1"/>
  </w:num>
  <w:num w:numId="2" w16cid:durableId="577862258">
    <w:abstractNumId w:val="25"/>
  </w:num>
  <w:num w:numId="3" w16cid:durableId="39401547">
    <w:abstractNumId w:val="0"/>
  </w:num>
  <w:num w:numId="4" w16cid:durableId="2019261468">
    <w:abstractNumId w:val="16"/>
  </w:num>
  <w:num w:numId="5" w16cid:durableId="785461544">
    <w:abstractNumId w:val="20"/>
  </w:num>
  <w:num w:numId="6" w16cid:durableId="947810422">
    <w:abstractNumId w:val="23"/>
  </w:num>
  <w:num w:numId="7" w16cid:durableId="78917425">
    <w:abstractNumId w:val="2"/>
  </w:num>
  <w:num w:numId="8" w16cid:durableId="103960777">
    <w:abstractNumId w:val="10"/>
  </w:num>
  <w:num w:numId="9" w16cid:durableId="985671725">
    <w:abstractNumId w:val="15"/>
  </w:num>
  <w:num w:numId="10" w16cid:durableId="669019151">
    <w:abstractNumId w:val="14"/>
  </w:num>
  <w:num w:numId="11" w16cid:durableId="468714509">
    <w:abstractNumId w:val="19"/>
  </w:num>
  <w:num w:numId="12" w16cid:durableId="1737777375">
    <w:abstractNumId w:val="26"/>
  </w:num>
  <w:num w:numId="13" w16cid:durableId="13922986">
    <w:abstractNumId w:val="11"/>
  </w:num>
  <w:num w:numId="14" w16cid:durableId="1183283205">
    <w:abstractNumId w:val="3"/>
  </w:num>
  <w:num w:numId="15" w16cid:durableId="465006917">
    <w:abstractNumId w:val="22"/>
  </w:num>
  <w:num w:numId="16" w16cid:durableId="1844662657">
    <w:abstractNumId w:val="8"/>
  </w:num>
  <w:num w:numId="17" w16cid:durableId="1670400883">
    <w:abstractNumId w:val="5"/>
  </w:num>
  <w:num w:numId="18" w16cid:durableId="113255895">
    <w:abstractNumId w:val="4"/>
  </w:num>
  <w:num w:numId="19" w16cid:durableId="559170560">
    <w:abstractNumId w:val="18"/>
  </w:num>
  <w:num w:numId="20" w16cid:durableId="545070221">
    <w:abstractNumId w:val="24"/>
  </w:num>
  <w:num w:numId="21" w16cid:durableId="1664815934">
    <w:abstractNumId w:val="27"/>
  </w:num>
  <w:num w:numId="22" w16cid:durableId="2067411620">
    <w:abstractNumId w:val="6"/>
  </w:num>
  <w:num w:numId="23" w16cid:durableId="837379641">
    <w:abstractNumId w:val="17"/>
  </w:num>
  <w:num w:numId="24" w16cid:durableId="894777903">
    <w:abstractNumId w:val="7"/>
  </w:num>
  <w:num w:numId="25" w16cid:durableId="693850950">
    <w:abstractNumId w:val="13"/>
  </w:num>
  <w:num w:numId="26" w16cid:durableId="472335050">
    <w:abstractNumId w:val="21"/>
  </w:num>
  <w:num w:numId="27" w16cid:durableId="997003757">
    <w:abstractNumId w:val="9"/>
  </w:num>
  <w:num w:numId="28" w16cid:durableId="1022165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1A4A"/>
    <w:rsid w:val="00062A63"/>
    <w:rsid w:val="0009357B"/>
    <w:rsid w:val="000A2427"/>
    <w:rsid w:val="000B0C35"/>
    <w:rsid w:val="000D5E48"/>
    <w:rsid w:val="000D7B7E"/>
    <w:rsid w:val="00106E66"/>
    <w:rsid w:val="00107C17"/>
    <w:rsid w:val="0011488C"/>
    <w:rsid w:val="001243E7"/>
    <w:rsid w:val="001341D5"/>
    <w:rsid w:val="001374B8"/>
    <w:rsid w:val="00153054"/>
    <w:rsid w:val="00162644"/>
    <w:rsid w:val="00163353"/>
    <w:rsid w:val="00163B8B"/>
    <w:rsid w:val="001916FA"/>
    <w:rsid w:val="00192A72"/>
    <w:rsid w:val="001960A0"/>
    <w:rsid w:val="001C2556"/>
    <w:rsid w:val="001C7495"/>
    <w:rsid w:val="001D6838"/>
    <w:rsid w:val="001E0EBA"/>
    <w:rsid w:val="00206931"/>
    <w:rsid w:val="00207201"/>
    <w:rsid w:val="00222280"/>
    <w:rsid w:val="002249EE"/>
    <w:rsid w:val="002656D1"/>
    <w:rsid w:val="00266EA1"/>
    <w:rsid w:val="00284694"/>
    <w:rsid w:val="00286186"/>
    <w:rsid w:val="0029436F"/>
    <w:rsid w:val="002A18D3"/>
    <w:rsid w:val="002B1470"/>
    <w:rsid w:val="002C1741"/>
    <w:rsid w:val="002C41C3"/>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010F4"/>
    <w:rsid w:val="00433AC5"/>
    <w:rsid w:val="004379D5"/>
    <w:rsid w:val="00456D3E"/>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368C2"/>
    <w:rsid w:val="005427D9"/>
    <w:rsid w:val="00544BC0"/>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4651C"/>
    <w:rsid w:val="00651021"/>
    <w:rsid w:val="0065269E"/>
    <w:rsid w:val="0065592A"/>
    <w:rsid w:val="00671D1E"/>
    <w:rsid w:val="006A2395"/>
    <w:rsid w:val="006B08A3"/>
    <w:rsid w:val="006B7810"/>
    <w:rsid w:val="006C6B8C"/>
    <w:rsid w:val="006D1FC1"/>
    <w:rsid w:val="006D49CF"/>
    <w:rsid w:val="006E1114"/>
    <w:rsid w:val="006E4C11"/>
    <w:rsid w:val="006E7F69"/>
    <w:rsid w:val="00700DC8"/>
    <w:rsid w:val="0070214C"/>
    <w:rsid w:val="007163E9"/>
    <w:rsid w:val="0072117C"/>
    <w:rsid w:val="00736039"/>
    <w:rsid w:val="00744CF0"/>
    <w:rsid w:val="007469EF"/>
    <w:rsid w:val="00786F9C"/>
    <w:rsid w:val="00794F98"/>
    <w:rsid w:val="007A1762"/>
    <w:rsid w:val="007A1EE1"/>
    <w:rsid w:val="007B10AA"/>
    <w:rsid w:val="007B38F2"/>
    <w:rsid w:val="007B5BEB"/>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003B5"/>
    <w:rsid w:val="00914525"/>
    <w:rsid w:val="0091764D"/>
    <w:rsid w:val="009311FD"/>
    <w:rsid w:val="00932BF9"/>
    <w:rsid w:val="00950DA1"/>
    <w:rsid w:val="009517CA"/>
    <w:rsid w:val="00977B63"/>
    <w:rsid w:val="00983366"/>
    <w:rsid w:val="009A78B9"/>
    <w:rsid w:val="009B0234"/>
    <w:rsid w:val="009B6B7C"/>
    <w:rsid w:val="009B79DA"/>
    <w:rsid w:val="009D79DE"/>
    <w:rsid w:val="009E40F4"/>
    <w:rsid w:val="009E6646"/>
    <w:rsid w:val="00A03BDB"/>
    <w:rsid w:val="00A04A02"/>
    <w:rsid w:val="00A11BB2"/>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901B7"/>
    <w:rsid w:val="00B9648E"/>
    <w:rsid w:val="00BA5564"/>
    <w:rsid w:val="00BC0066"/>
    <w:rsid w:val="00BF4F8C"/>
    <w:rsid w:val="00BF58AD"/>
    <w:rsid w:val="00C017D3"/>
    <w:rsid w:val="00C0407D"/>
    <w:rsid w:val="00C0586A"/>
    <w:rsid w:val="00C10BA5"/>
    <w:rsid w:val="00C15400"/>
    <w:rsid w:val="00C173BB"/>
    <w:rsid w:val="00C209B2"/>
    <w:rsid w:val="00C307D7"/>
    <w:rsid w:val="00C5006D"/>
    <w:rsid w:val="00C505DB"/>
    <w:rsid w:val="00C54807"/>
    <w:rsid w:val="00C60451"/>
    <w:rsid w:val="00C62AD4"/>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5A01"/>
    <w:rsid w:val="00DB1F25"/>
    <w:rsid w:val="00DC2552"/>
    <w:rsid w:val="00DC776A"/>
    <w:rsid w:val="00DE224F"/>
    <w:rsid w:val="00E20364"/>
    <w:rsid w:val="00E34820"/>
    <w:rsid w:val="00E401B9"/>
    <w:rsid w:val="00E427E1"/>
    <w:rsid w:val="00E42F2A"/>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A7467"/>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5368C2"/>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368C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368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1802</Words>
  <Characters>10275</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6</cp:revision>
  <dcterms:created xsi:type="dcterms:W3CDTF">2022-12-06T23:07:00Z</dcterms:created>
  <dcterms:modified xsi:type="dcterms:W3CDTF">2022-12-07T16:53:00Z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